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50ECA" w14:textId="4DFAC5FF" w:rsidR="00E94587" w:rsidRPr="00A93EB2" w:rsidRDefault="00E94587" w:rsidP="00E94587">
      <w:pPr>
        <w:rPr>
          <w:sz w:val="20"/>
          <w:szCs w:val="20"/>
        </w:rPr>
      </w:pPr>
      <w:bookmarkStart w:id="0" w:name="_GoBack"/>
      <w:bookmarkEnd w:id="0"/>
      <w:r w:rsidRPr="00A93EB2">
        <w:rPr>
          <w:sz w:val="20"/>
          <w:szCs w:val="20"/>
        </w:rPr>
        <w:t xml:space="preserve"> </w:t>
      </w:r>
      <w:r w:rsidR="00950BAC">
        <w:rPr>
          <w:b/>
          <w:sz w:val="20"/>
          <w:szCs w:val="20"/>
        </w:rPr>
        <w:t>2019</w:t>
      </w:r>
      <w:r w:rsidR="00E55667">
        <w:rPr>
          <w:b/>
          <w:sz w:val="20"/>
          <w:szCs w:val="20"/>
        </w:rPr>
        <w:t xml:space="preserve"> Coldstream Hills</w:t>
      </w:r>
      <w:r w:rsidR="004E6B98" w:rsidRPr="00A93EB2">
        <w:rPr>
          <w:sz w:val="20"/>
          <w:szCs w:val="20"/>
        </w:rPr>
        <w:t xml:space="preserve"> </w:t>
      </w:r>
      <w:r w:rsidRPr="00A93EB2">
        <w:rPr>
          <w:b/>
          <w:bCs/>
          <w:sz w:val="20"/>
          <w:szCs w:val="20"/>
        </w:rPr>
        <w:t xml:space="preserve">The Esplanade Pinot Noir </w:t>
      </w:r>
    </w:p>
    <w:p w14:paraId="40950ECB" w14:textId="77777777" w:rsidR="00E94587" w:rsidRPr="00A93EB2" w:rsidRDefault="00E94587" w:rsidP="00E94587">
      <w:pPr>
        <w:rPr>
          <w:sz w:val="20"/>
          <w:szCs w:val="20"/>
        </w:rPr>
      </w:pPr>
      <w:r w:rsidRPr="00A93EB2">
        <w:rPr>
          <w:sz w:val="20"/>
          <w:szCs w:val="20"/>
        </w:rPr>
        <w:t xml:space="preserve">Coldstream Hills prides itself for having access to many of the best vineyards in the Yarra Valley. These sites are found throughout the upper and lower Yarra Valley with each vineyard providing a range of unique characteristics to the wines. </w:t>
      </w:r>
    </w:p>
    <w:p w14:paraId="40950ECC" w14:textId="77777777" w:rsidR="00E94587" w:rsidRPr="00A93EB2" w:rsidRDefault="00E94587" w:rsidP="00E94587">
      <w:pPr>
        <w:rPr>
          <w:sz w:val="20"/>
          <w:szCs w:val="20"/>
        </w:rPr>
      </w:pPr>
      <w:r w:rsidRPr="00A93EB2">
        <w:rPr>
          <w:sz w:val="20"/>
          <w:szCs w:val="20"/>
        </w:rPr>
        <w:t xml:space="preserve">Back in the late 1980s, James Halliday introduced single vineyard wines to Coldstream Hills and demonstrated their unique styles. The tradition has continued with the release of the Single Vineyard range. </w:t>
      </w:r>
    </w:p>
    <w:p w14:paraId="40950ECD" w14:textId="77777777" w:rsidR="00E94587" w:rsidRPr="00A93EB2" w:rsidRDefault="00856595" w:rsidP="00E94587">
      <w:pPr>
        <w:rPr>
          <w:sz w:val="20"/>
          <w:szCs w:val="20"/>
        </w:rPr>
      </w:pPr>
      <w:r w:rsidRPr="00A93EB2">
        <w:rPr>
          <w:b/>
          <w:bCs/>
          <w:i/>
          <w:iCs/>
          <w:sz w:val="20"/>
          <w:szCs w:val="20"/>
        </w:rPr>
        <w:t>Syme Vineyard, Gruyere</w:t>
      </w:r>
    </w:p>
    <w:p w14:paraId="40950ECE" w14:textId="77777777" w:rsidR="00E94587" w:rsidRPr="00A93EB2" w:rsidRDefault="00E94587" w:rsidP="00E94587">
      <w:pPr>
        <w:rPr>
          <w:sz w:val="20"/>
          <w:szCs w:val="20"/>
        </w:rPr>
      </w:pPr>
      <w:r w:rsidRPr="00A93EB2">
        <w:rPr>
          <w:b/>
          <w:sz w:val="20"/>
          <w:szCs w:val="20"/>
        </w:rPr>
        <w:t>Block:</w:t>
      </w:r>
      <w:r w:rsidRPr="00A93EB2">
        <w:rPr>
          <w:sz w:val="20"/>
          <w:szCs w:val="20"/>
        </w:rPr>
        <w:t xml:space="preserve"> The Esplanade </w:t>
      </w:r>
    </w:p>
    <w:p w14:paraId="40950ECF" w14:textId="77777777" w:rsidR="00E94587" w:rsidRPr="00A93EB2" w:rsidRDefault="00E94587" w:rsidP="00E94587">
      <w:pPr>
        <w:rPr>
          <w:sz w:val="20"/>
          <w:szCs w:val="20"/>
        </w:rPr>
      </w:pPr>
      <w:r w:rsidRPr="00A93EB2">
        <w:rPr>
          <w:b/>
          <w:sz w:val="20"/>
          <w:szCs w:val="20"/>
        </w:rPr>
        <w:t>Vines</w:t>
      </w:r>
      <w:r w:rsidRPr="00A93EB2">
        <w:rPr>
          <w:sz w:val="20"/>
          <w:szCs w:val="20"/>
        </w:rPr>
        <w:t xml:space="preserve"> planted: 1998 </w:t>
      </w:r>
    </w:p>
    <w:p w14:paraId="40950ED0" w14:textId="77777777" w:rsidR="00E94587" w:rsidRPr="00A93EB2" w:rsidRDefault="00E94587" w:rsidP="00E94587">
      <w:pPr>
        <w:rPr>
          <w:sz w:val="20"/>
          <w:szCs w:val="20"/>
        </w:rPr>
      </w:pPr>
      <w:r w:rsidRPr="00A93EB2">
        <w:rPr>
          <w:b/>
          <w:sz w:val="20"/>
          <w:szCs w:val="20"/>
        </w:rPr>
        <w:t>Clone</w:t>
      </w:r>
      <w:r w:rsidRPr="00A93EB2">
        <w:rPr>
          <w:sz w:val="20"/>
          <w:szCs w:val="20"/>
        </w:rPr>
        <w:t xml:space="preserve">: MV6 </w:t>
      </w:r>
    </w:p>
    <w:p w14:paraId="40950ED1" w14:textId="77777777" w:rsidR="00E94587" w:rsidRPr="00A93EB2" w:rsidRDefault="00E94587" w:rsidP="00E94587">
      <w:pPr>
        <w:rPr>
          <w:sz w:val="20"/>
          <w:szCs w:val="20"/>
        </w:rPr>
      </w:pPr>
      <w:r w:rsidRPr="00A93EB2">
        <w:rPr>
          <w:b/>
          <w:sz w:val="20"/>
          <w:szCs w:val="20"/>
        </w:rPr>
        <w:t>Aspect</w:t>
      </w:r>
      <w:r w:rsidRPr="00A93EB2">
        <w:rPr>
          <w:sz w:val="20"/>
          <w:szCs w:val="20"/>
        </w:rPr>
        <w:t xml:space="preserve">: North facing </w:t>
      </w:r>
    </w:p>
    <w:p w14:paraId="40950ED2" w14:textId="77777777" w:rsidR="00E94587" w:rsidRPr="00A93EB2" w:rsidRDefault="00E94587" w:rsidP="00E94587">
      <w:pPr>
        <w:rPr>
          <w:sz w:val="20"/>
          <w:szCs w:val="20"/>
        </w:rPr>
      </w:pPr>
      <w:r w:rsidRPr="00A93EB2">
        <w:rPr>
          <w:b/>
          <w:sz w:val="20"/>
          <w:szCs w:val="20"/>
        </w:rPr>
        <w:t>Soil:</w:t>
      </w:r>
      <w:r w:rsidRPr="00A93EB2">
        <w:rPr>
          <w:sz w:val="20"/>
          <w:szCs w:val="20"/>
        </w:rPr>
        <w:t xml:space="preserve"> Silty clay loam </w:t>
      </w:r>
    </w:p>
    <w:p w14:paraId="40950ED3" w14:textId="77777777" w:rsidR="00E94587" w:rsidRPr="00A93EB2" w:rsidRDefault="00E94587" w:rsidP="00E94587">
      <w:pPr>
        <w:rPr>
          <w:sz w:val="20"/>
          <w:szCs w:val="20"/>
        </w:rPr>
      </w:pPr>
      <w:r w:rsidRPr="00A93EB2">
        <w:rPr>
          <w:b/>
          <w:bCs/>
          <w:sz w:val="20"/>
          <w:szCs w:val="20"/>
        </w:rPr>
        <w:t xml:space="preserve">Winemaker Comments </w:t>
      </w:r>
      <w:r w:rsidRPr="00A93EB2">
        <w:rPr>
          <w:sz w:val="20"/>
          <w:szCs w:val="20"/>
        </w:rPr>
        <w:t xml:space="preserve">Andrew Fleming </w:t>
      </w:r>
    </w:p>
    <w:p w14:paraId="40950ED4" w14:textId="77777777" w:rsidR="00E94587" w:rsidRPr="00A93EB2" w:rsidRDefault="00E94587" w:rsidP="00E94587">
      <w:pPr>
        <w:rPr>
          <w:sz w:val="20"/>
          <w:szCs w:val="20"/>
        </w:rPr>
      </w:pPr>
      <w:r w:rsidRPr="00A93EB2">
        <w:rPr>
          <w:b/>
          <w:bCs/>
          <w:sz w:val="20"/>
          <w:szCs w:val="20"/>
        </w:rPr>
        <w:t xml:space="preserve">Vintage Conditions </w:t>
      </w:r>
    </w:p>
    <w:p w14:paraId="36AA3FAA" w14:textId="04A15FD8" w:rsidR="00665F8D" w:rsidRPr="00665F8D" w:rsidRDefault="00665F8D" w:rsidP="00665F8D">
      <w:pPr>
        <w:spacing w:after="200" w:line="276" w:lineRule="auto"/>
        <w:rPr>
          <w:rFonts w:eastAsiaTheme="minorHAnsi" w:cstheme="minorHAnsi"/>
          <w:sz w:val="20"/>
          <w:szCs w:val="20"/>
          <w:lang w:eastAsia="en-US"/>
        </w:rPr>
      </w:pPr>
      <w:r w:rsidRPr="00665F8D">
        <w:rPr>
          <w:sz w:val="20"/>
          <w:szCs w:val="20"/>
        </w:rPr>
        <w:t xml:space="preserve"> </w:t>
      </w:r>
      <w:r w:rsidRPr="00665F8D">
        <w:rPr>
          <w:rFonts w:eastAsiaTheme="minorHAnsi" w:cstheme="minorHAnsi"/>
          <w:sz w:val="20"/>
          <w:szCs w:val="20"/>
          <w:lang w:eastAsia="en-US"/>
        </w:rPr>
        <w:t>A mild Spring, followed by a warm and very dry ripening period led to a heightened onset of vintage. Despite a compressed harvest period, Pinot Noir held up well producing wines of flavour, texture and depth.</w:t>
      </w:r>
    </w:p>
    <w:p w14:paraId="40950ED6" w14:textId="77777777" w:rsidR="00E55667" w:rsidRPr="002756C6" w:rsidRDefault="00E55667" w:rsidP="00E55667">
      <w:pPr>
        <w:autoSpaceDE w:val="0"/>
        <w:autoSpaceDN w:val="0"/>
        <w:adjustRightInd w:val="0"/>
        <w:spacing w:after="0" w:line="240" w:lineRule="auto"/>
        <w:rPr>
          <w:sz w:val="20"/>
          <w:szCs w:val="20"/>
        </w:rPr>
      </w:pPr>
    </w:p>
    <w:p w14:paraId="40950ED7" w14:textId="77777777" w:rsidR="00A93EB2" w:rsidRDefault="00E94587" w:rsidP="00E94587">
      <w:pPr>
        <w:rPr>
          <w:sz w:val="20"/>
          <w:szCs w:val="20"/>
        </w:rPr>
      </w:pPr>
      <w:r w:rsidRPr="00A93EB2">
        <w:rPr>
          <w:b/>
          <w:bCs/>
          <w:sz w:val="20"/>
          <w:szCs w:val="20"/>
        </w:rPr>
        <w:t xml:space="preserve">Technical Analysis </w:t>
      </w:r>
    </w:p>
    <w:p w14:paraId="40950ED8" w14:textId="4D9B1D79" w:rsidR="00E94587" w:rsidRPr="00A93EB2" w:rsidRDefault="00E94587" w:rsidP="00E94587">
      <w:pPr>
        <w:rPr>
          <w:sz w:val="20"/>
          <w:szCs w:val="20"/>
        </w:rPr>
      </w:pPr>
      <w:r w:rsidRPr="00A93EB2">
        <w:rPr>
          <w:b/>
          <w:bCs/>
          <w:sz w:val="20"/>
          <w:szCs w:val="20"/>
        </w:rPr>
        <w:t xml:space="preserve">Harvest Date </w:t>
      </w:r>
      <w:r w:rsidR="00F25DDE">
        <w:rPr>
          <w:sz w:val="20"/>
          <w:szCs w:val="20"/>
        </w:rPr>
        <w:t>1</w:t>
      </w:r>
      <w:r w:rsidR="00F25DDE" w:rsidRPr="00F25DDE">
        <w:rPr>
          <w:sz w:val="20"/>
          <w:szCs w:val="20"/>
          <w:vertAlign w:val="superscript"/>
        </w:rPr>
        <w:t>st</w:t>
      </w:r>
      <w:r w:rsidR="00F25DDE">
        <w:rPr>
          <w:sz w:val="20"/>
          <w:szCs w:val="20"/>
        </w:rPr>
        <w:t xml:space="preserve"> March 2019</w:t>
      </w:r>
    </w:p>
    <w:p w14:paraId="40950ED9" w14:textId="63E5B7FA" w:rsidR="00E94587" w:rsidRPr="00A93EB2" w:rsidRDefault="00E94587" w:rsidP="00E94587">
      <w:pPr>
        <w:rPr>
          <w:sz w:val="20"/>
          <w:szCs w:val="20"/>
        </w:rPr>
      </w:pPr>
      <w:r w:rsidRPr="00A93EB2">
        <w:rPr>
          <w:b/>
          <w:bCs/>
          <w:sz w:val="20"/>
          <w:szCs w:val="20"/>
        </w:rPr>
        <w:t xml:space="preserve">pH </w:t>
      </w:r>
      <w:r w:rsidR="00F25DDE">
        <w:rPr>
          <w:sz w:val="20"/>
          <w:szCs w:val="20"/>
        </w:rPr>
        <w:t>3.44</w:t>
      </w:r>
    </w:p>
    <w:p w14:paraId="40950EDA" w14:textId="05EC7601" w:rsidR="00E94587" w:rsidRPr="00A93EB2" w:rsidRDefault="00E94587" w:rsidP="00E94587">
      <w:pPr>
        <w:rPr>
          <w:sz w:val="20"/>
          <w:szCs w:val="20"/>
        </w:rPr>
      </w:pPr>
      <w:r w:rsidRPr="00A93EB2">
        <w:rPr>
          <w:b/>
          <w:bCs/>
          <w:sz w:val="20"/>
          <w:szCs w:val="20"/>
        </w:rPr>
        <w:t xml:space="preserve">Acidity </w:t>
      </w:r>
      <w:r w:rsidR="00F25DDE">
        <w:rPr>
          <w:sz w:val="20"/>
          <w:szCs w:val="20"/>
        </w:rPr>
        <w:t xml:space="preserve">6.0 </w:t>
      </w:r>
      <w:r w:rsidRPr="00A93EB2">
        <w:rPr>
          <w:sz w:val="20"/>
          <w:szCs w:val="20"/>
        </w:rPr>
        <w:t xml:space="preserve">g/L </w:t>
      </w:r>
    </w:p>
    <w:p w14:paraId="40950EDB" w14:textId="77777777" w:rsidR="009D71FD" w:rsidRPr="00A93EB2" w:rsidRDefault="00E94587" w:rsidP="00E94587">
      <w:pPr>
        <w:rPr>
          <w:sz w:val="20"/>
          <w:szCs w:val="20"/>
        </w:rPr>
      </w:pPr>
      <w:r w:rsidRPr="00A93EB2">
        <w:rPr>
          <w:b/>
          <w:bCs/>
          <w:sz w:val="20"/>
          <w:szCs w:val="20"/>
        </w:rPr>
        <w:t xml:space="preserve">Alcohol </w:t>
      </w:r>
      <w:r w:rsidR="00E55667">
        <w:rPr>
          <w:sz w:val="20"/>
          <w:szCs w:val="20"/>
        </w:rPr>
        <w:t>14.0</w:t>
      </w:r>
      <w:r w:rsidRPr="00A93EB2">
        <w:rPr>
          <w:sz w:val="20"/>
          <w:szCs w:val="20"/>
        </w:rPr>
        <w:t>%</w:t>
      </w:r>
    </w:p>
    <w:p w14:paraId="40950EDC" w14:textId="03C40E1A" w:rsidR="00E94587" w:rsidRPr="00A93EB2" w:rsidRDefault="00E94587" w:rsidP="00E94587">
      <w:pPr>
        <w:rPr>
          <w:sz w:val="20"/>
          <w:szCs w:val="20"/>
        </w:rPr>
      </w:pPr>
      <w:r w:rsidRPr="00A93EB2">
        <w:rPr>
          <w:sz w:val="20"/>
          <w:szCs w:val="20"/>
        </w:rPr>
        <w:t xml:space="preserve"> </w:t>
      </w:r>
      <w:r w:rsidRPr="00A93EB2">
        <w:rPr>
          <w:b/>
          <w:bCs/>
          <w:sz w:val="20"/>
          <w:szCs w:val="20"/>
        </w:rPr>
        <w:t xml:space="preserve">Residual Sugar </w:t>
      </w:r>
      <w:r w:rsidR="00F25DDE">
        <w:rPr>
          <w:sz w:val="20"/>
          <w:szCs w:val="20"/>
        </w:rPr>
        <w:t xml:space="preserve">0.8 </w:t>
      </w:r>
      <w:r w:rsidRPr="00A93EB2">
        <w:rPr>
          <w:sz w:val="20"/>
          <w:szCs w:val="20"/>
        </w:rPr>
        <w:t xml:space="preserve">g/L </w:t>
      </w:r>
    </w:p>
    <w:p w14:paraId="40950EDD" w14:textId="6EF1494B" w:rsidR="00E94587" w:rsidRPr="00A93EB2" w:rsidRDefault="00E94587" w:rsidP="00E94587">
      <w:pPr>
        <w:rPr>
          <w:sz w:val="20"/>
          <w:szCs w:val="20"/>
        </w:rPr>
      </w:pPr>
      <w:r w:rsidRPr="00A93EB2">
        <w:rPr>
          <w:b/>
          <w:bCs/>
          <w:sz w:val="20"/>
          <w:szCs w:val="20"/>
        </w:rPr>
        <w:t xml:space="preserve">Bottling Date </w:t>
      </w:r>
      <w:r w:rsidR="00F25DDE">
        <w:rPr>
          <w:sz w:val="20"/>
          <w:szCs w:val="20"/>
        </w:rPr>
        <w:t>February 2020</w:t>
      </w:r>
    </w:p>
    <w:p w14:paraId="40950EDE" w14:textId="0370D4F0" w:rsidR="00E94587" w:rsidRPr="00A93EB2" w:rsidRDefault="00E94587" w:rsidP="00E94587">
      <w:pPr>
        <w:rPr>
          <w:sz w:val="20"/>
          <w:szCs w:val="20"/>
        </w:rPr>
      </w:pPr>
      <w:r w:rsidRPr="00A93EB2">
        <w:rPr>
          <w:b/>
          <w:bCs/>
          <w:sz w:val="20"/>
          <w:szCs w:val="20"/>
        </w:rPr>
        <w:t xml:space="preserve">Peak Drinking </w:t>
      </w:r>
      <w:r w:rsidR="00E55667">
        <w:rPr>
          <w:sz w:val="20"/>
          <w:szCs w:val="20"/>
        </w:rPr>
        <w:t>No</w:t>
      </w:r>
      <w:r w:rsidR="00F25DDE">
        <w:rPr>
          <w:sz w:val="20"/>
          <w:szCs w:val="20"/>
        </w:rPr>
        <w:t>w to 2030</w:t>
      </w:r>
    </w:p>
    <w:p w14:paraId="63696790" w14:textId="77777777" w:rsidR="00F25DDE" w:rsidRDefault="00E94587" w:rsidP="00E94587">
      <w:pPr>
        <w:rPr>
          <w:sz w:val="20"/>
          <w:szCs w:val="20"/>
        </w:rPr>
      </w:pPr>
      <w:r w:rsidRPr="00A93EB2">
        <w:rPr>
          <w:b/>
          <w:bCs/>
          <w:sz w:val="20"/>
          <w:szCs w:val="20"/>
        </w:rPr>
        <w:t xml:space="preserve">Grape Variety </w:t>
      </w:r>
      <w:r w:rsidR="00315AEF" w:rsidRPr="00A93EB2">
        <w:rPr>
          <w:sz w:val="20"/>
          <w:szCs w:val="20"/>
        </w:rPr>
        <w:t xml:space="preserve"> </w:t>
      </w:r>
    </w:p>
    <w:p w14:paraId="40950EDF" w14:textId="1AA5BDA7" w:rsidR="00E94587" w:rsidRPr="00A93EB2" w:rsidRDefault="00E94587" w:rsidP="00E94587">
      <w:pPr>
        <w:rPr>
          <w:sz w:val="20"/>
          <w:szCs w:val="20"/>
        </w:rPr>
      </w:pPr>
      <w:r w:rsidRPr="00A93EB2">
        <w:rPr>
          <w:sz w:val="20"/>
          <w:szCs w:val="20"/>
        </w:rPr>
        <w:t xml:space="preserve">Pinot Noir </w:t>
      </w:r>
    </w:p>
    <w:p w14:paraId="40950EE0" w14:textId="77777777" w:rsidR="00E94587" w:rsidRPr="00A93EB2" w:rsidRDefault="00E94587" w:rsidP="00E94587">
      <w:pPr>
        <w:rPr>
          <w:sz w:val="20"/>
          <w:szCs w:val="20"/>
        </w:rPr>
      </w:pPr>
      <w:r w:rsidRPr="00A93EB2">
        <w:rPr>
          <w:b/>
          <w:bCs/>
          <w:sz w:val="20"/>
          <w:szCs w:val="20"/>
        </w:rPr>
        <w:t xml:space="preserve">Maturation </w:t>
      </w:r>
    </w:p>
    <w:p w14:paraId="40950EE1" w14:textId="3E79112E" w:rsidR="00E94587" w:rsidRPr="00A93EB2" w:rsidRDefault="00F25DDE" w:rsidP="00E94587">
      <w:pPr>
        <w:rPr>
          <w:sz w:val="20"/>
          <w:szCs w:val="20"/>
        </w:rPr>
      </w:pPr>
      <w:r>
        <w:rPr>
          <w:sz w:val="20"/>
          <w:szCs w:val="20"/>
        </w:rPr>
        <w:t>Eleven</w:t>
      </w:r>
      <w:r w:rsidR="00E94587" w:rsidRPr="00A93EB2">
        <w:rPr>
          <w:sz w:val="20"/>
          <w:szCs w:val="20"/>
        </w:rPr>
        <w:t xml:space="preserve"> m</w:t>
      </w:r>
      <w:r w:rsidR="007E7F97" w:rsidRPr="00A93EB2">
        <w:rPr>
          <w:sz w:val="20"/>
          <w:szCs w:val="20"/>
        </w:rPr>
        <w:t xml:space="preserve">onths in French oak – </w:t>
      </w:r>
      <w:r>
        <w:rPr>
          <w:sz w:val="20"/>
          <w:szCs w:val="20"/>
        </w:rPr>
        <w:t>forty six</w:t>
      </w:r>
      <w:r w:rsidR="00E94587" w:rsidRPr="00A93EB2">
        <w:rPr>
          <w:sz w:val="20"/>
          <w:szCs w:val="20"/>
        </w:rPr>
        <w:t xml:space="preserve"> percent new with the remainder in seasoned Fr</w:t>
      </w:r>
      <w:r w:rsidR="00D15E22" w:rsidRPr="00A93EB2">
        <w:rPr>
          <w:sz w:val="20"/>
          <w:szCs w:val="20"/>
        </w:rPr>
        <w:t>ench oak barriques</w:t>
      </w:r>
      <w:r w:rsidR="00E94587" w:rsidRPr="00A93EB2">
        <w:rPr>
          <w:sz w:val="20"/>
          <w:szCs w:val="20"/>
        </w:rPr>
        <w:t xml:space="preserve">. </w:t>
      </w:r>
    </w:p>
    <w:p w14:paraId="40950EE2" w14:textId="77777777" w:rsidR="00A93EB2" w:rsidRDefault="00E94587" w:rsidP="00E94587">
      <w:pPr>
        <w:rPr>
          <w:sz w:val="20"/>
          <w:szCs w:val="20"/>
        </w:rPr>
      </w:pPr>
      <w:r w:rsidRPr="00A93EB2">
        <w:rPr>
          <w:b/>
          <w:bCs/>
          <w:sz w:val="20"/>
          <w:szCs w:val="20"/>
        </w:rPr>
        <w:t xml:space="preserve">Colour </w:t>
      </w:r>
    </w:p>
    <w:p w14:paraId="40950EE3" w14:textId="1663FF39" w:rsidR="00E94587" w:rsidRPr="00706741" w:rsidRDefault="00E94587" w:rsidP="00E94587">
      <w:pPr>
        <w:rPr>
          <w:sz w:val="20"/>
          <w:szCs w:val="20"/>
        </w:rPr>
      </w:pPr>
      <w:r w:rsidRPr="00706741">
        <w:rPr>
          <w:sz w:val="20"/>
          <w:szCs w:val="20"/>
        </w:rPr>
        <w:t>Medium</w:t>
      </w:r>
      <w:r w:rsidR="00706741" w:rsidRPr="00706741">
        <w:rPr>
          <w:sz w:val="20"/>
          <w:szCs w:val="20"/>
        </w:rPr>
        <w:t xml:space="preserve"> crimson red</w:t>
      </w:r>
      <w:r w:rsidRPr="00706741">
        <w:rPr>
          <w:sz w:val="20"/>
          <w:szCs w:val="20"/>
        </w:rPr>
        <w:t xml:space="preserve"> </w:t>
      </w:r>
    </w:p>
    <w:p w14:paraId="40950EE4" w14:textId="77777777" w:rsidR="00A93EB2" w:rsidRDefault="00A93EB2" w:rsidP="00E94587">
      <w:pPr>
        <w:rPr>
          <w:b/>
          <w:bCs/>
          <w:sz w:val="20"/>
          <w:szCs w:val="20"/>
        </w:rPr>
      </w:pPr>
    </w:p>
    <w:p w14:paraId="40950EE5" w14:textId="77777777" w:rsidR="00A93EB2" w:rsidRDefault="00A93EB2" w:rsidP="00E94587">
      <w:pPr>
        <w:rPr>
          <w:b/>
          <w:bCs/>
          <w:sz w:val="20"/>
          <w:szCs w:val="20"/>
        </w:rPr>
      </w:pPr>
    </w:p>
    <w:p w14:paraId="40950EE6" w14:textId="77777777" w:rsidR="00A93EB2" w:rsidRDefault="00315AEF" w:rsidP="00E94587">
      <w:pPr>
        <w:rPr>
          <w:sz w:val="20"/>
          <w:szCs w:val="20"/>
        </w:rPr>
      </w:pPr>
      <w:r w:rsidRPr="00A93EB2">
        <w:rPr>
          <w:b/>
          <w:bCs/>
          <w:sz w:val="20"/>
          <w:szCs w:val="20"/>
        </w:rPr>
        <w:t>Bouquet</w:t>
      </w:r>
      <w:r w:rsidR="00E94587" w:rsidRPr="00A93EB2">
        <w:rPr>
          <w:b/>
          <w:bCs/>
          <w:sz w:val="20"/>
          <w:szCs w:val="20"/>
        </w:rPr>
        <w:t xml:space="preserve"> </w:t>
      </w:r>
    </w:p>
    <w:p w14:paraId="5504D814" w14:textId="6252A509" w:rsidR="00706741" w:rsidRPr="00706741" w:rsidRDefault="00706741" w:rsidP="00E94587">
      <w:pPr>
        <w:rPr>
          <w:sz w:val="20"/>
          <w:szCs w:val="20"/>
        </w:rPr>
      </w:pPr>
      <w:r w:rsidRPr="00706741">
        <w:rPr>
          <w:sz w:val="20"/>
          <w:szCs w:val="20"/>
        </w:rPr>
        <w:t>Ripe and brooding with vibrant dark cherry and blue fruit characters in abundance. French oak offers harmonious support with underlying rustic earthiness and mineral spice adding complexity.</w:t>
      </w:r>
    </w:p>
    <w:p w14:paraId="40950EE8" w14:textId="77777777" w:rsidR="00E94587" w:rsidRPr="00A93EB2" w:rsidRDefault="0036722F" w:rsidP="00E94587">
      <w:pPr>
        <w:rPr>
          <w:sz w:val="20"/>
          <w:szCs w:val="20"/>
        </w:rPr>
      </w:pPr>
      <w:r w:rsidRPr="00A93EB2">
        <w:rPr>
          <w:b/>
          <w:bCs/>
          <w:sz w:val="20"/>
          <w:szCs w:val="20"/>
        </w:rPr>
        <w:t xml:space="preserve"> </w:t>
      </w:r>
      <w:r w:rsidR="00E94587" w:rsidRPr="00A93EB2">
        <w:rPr>
          <w:b/>
          <w:bCs/>
          <w:sz w:val="20"/>
          <w:szCs w:val="20"/>
        </w:rPr>
        <w:t xml:space="preserve">Palate </w:t>
      </w:r>
    </w:p>
    <w:p w14:paraId="40950EEA" w14:textId="5FB8E398" w:rsidR="00304E27" w:rsidRPr="00304E27" w:rsidRDefault="00476BF2" w:rsidP="00E94587">
      <w:pPr>
        <w:rPr>
          <w:sz w:val="20"/>
          <w:szCs w:val="20"/>
        </w:rPr>
      </w:pPr>
      <w:r>
        <w:rPr>
          <w:sz w:val="20"/>
          <w:szCs w:val="20"/>
        </w:rPr>
        <w:t xml:space="preserve">Medium bodied in style the palate has great vibrancy, texture and </w:t>
      </w:r>
      <w:r w:rsidR="00E2450D">
        <w:rPr>
          <w:sz w:val="20"/>
          <w:szCs w:val="20"/>
        </w:rPr>
        <w:t>length. Seamless French oak, graphite-like mineral and hints of whole bunch spice complement the dominating notes of dark cherry and cranberry. Brooding and powerful, the palate finishes with the Vineyard’s signature chalk-like grainy tannin</w:t>
      </w:r>
      <w:r w:rsidR="00304E27" w:rsidRPr="00304E27">
        <w:rPr>
          <w:sz w:val="20"/>
          <w:szCs w:val="20"/>
        </w:rPr>
        <w:t>.</w:t>
      </w:r>
      <w:r w:rsidR="00E2450D">
        <w:rPr>
          <w:sz w:val="20"/>
          <w:szCs w:val="20"/>
        </w:rPr>
        <w:t xml:space="preserve"> One for the Cellar.</w:t>
      </w:r>
    </w:p>
    <w:p w14:paraId="40950EEB" w14:textId="77777777" w:rsidR="0074050F" w:rsidRPr="00A93EB2" w:rsidRDefault="0074050F" w:rsidP="00E94587">
      <w:pPr>
        <w:rPr>
          <w:sz w:val="20"/>
          <w:szCs w:val="20"/>
        </w:rPr>
      </w:pPr>
    </w:p>
    <w:sectPr w:rsidR="0074050F" w:rsidRPr="00A93EB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50EEE" w14:textId="77777777" w:rsidR="00A947F7" w:rsidRDefault="00A947F7" w:rsidP="00617D6C">
      <w:pPr>
        <w:spacing w:after="0" w:line="240" w:lineRule="auto"/>
      </w:pPr>
      <w:r>
        <w:separator/>
      </w:r>
    </w:p>
  </w:endnote>
  <w:endnote w:type="continuationSeparator" w:id="0">
    <w:p w14:paraId="40950EEF" w14:textId="77777777" w:rsidR="00A947F7" w:rsidRDefault="00A947F7" w:rsidP="00617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50EEC" w14:textId="77777777" w:rsidR="00A947F7" w:rsidRDefault="00A947F7" w:rsidP="00617D6C">
      <w:pPr>
        <w:spacing w:after="0" w:line="240" w:lineRule="auto"/>
      </w:pPr>
      <w:r>
        <w:separator/>
      </w:r>
    </w:p>
  </w:footnote>
  <w:footnote w:type="continuationSeparator" w:id="0">
    <w:p w14:paraId="40950EED" w14:textId="77777777" w:rsidR="00A947F7" w:rsidRDefault="00A947F7" w:rsidP="00617D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587"/>
    <w:rsid w:val="00007591"/>
    <w:rsid w:val="00080F84"/>
    <w:rsid w:val="0009277E"/>
    <w:rsid w:val="001767D3"/>
    <w:rsid w:val="001B42EB"/>
    <w:rsid w:val="001C4B5B"/>
    <w:rsid w:val="001D0EE6"/>
    <w:rsid w:val="00304E27"/>
    <w:rsid w:val="00315AEF"/>
    <w:rsid w:val="003645E6"/>
    <w:rsid w:val="0036722F"/>
    <w:rsid w:val="00384D10"/>
    <w:rsid w:val="00434318"/>
    <w:rsid w:val="00476BF2"/>
    <w:rsid w:val="004E6B98"/>
    <w:rsid w:val="0053077F"/>
    <w:rsid w:val="005545F3"/>
    <w:rsid w:val="00566593"/>
    <w:rsid w:val="005F0C55"/>
    <w:rsid w:val="00617D6C"/>
    <w:rsid w:val="00665F8D"/>
    <w:rsid w:val="00706741"/>
    <w:rsid w:val="0074050F"/>
    <w:rsid w:val="007554E3"/>
    <w:rsid w:val="00763166"/>
    <w:rsid w:val="007E7F97"/>
    <w:rsid w:val="008407B9"/>
    <w:rsid w:val="008472C3"/>
    <w:rsid w:val="00856595"/>
    <w:rsid w:val="008E21D6"/>
    <w:rsid w:val="00950BAC"/>
    <w:rsid w:val="00966975"/>
    <w:rsid w:val="0099552B"/>
    <w:rsid w:val="0099799B"/>
    <w:rsid w:val="009D71FD"/>
    <w:rsid w:val="00A93EB2"/>
    <w:rsid w:val="00A947F7"/>
    <w:rsid w:val="00B21337"/>
    <w:rsid w:val="00B33347"/>
    <w:rsid w:val="00C056C4"/>
    <w:rsid w:val="00C27C40"/>
    <w:rsid w:val="00D15E22"/>
    <w:rsid w:val="00E2450D"/>
    <w:rsid w:val="00E55667"/>
    <w:rsid w:val="00E94587"/>
    <w:rsid w:val="00F062A4"/>
    <w:rsid w:val="00F25DDE"/>
    <w:rsid w:val="00F72796"/>
    <w:rsid w:val="00F92AE7"/>
    <w:rsid w:val="00FA4EDD"/>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950ECA"/>
  <w15:chartTrackingRefBased/>
  <w15:docId w15:val="{A7825047-F5A6-4D73-8218-C16F3A9AA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D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D6C"/>
  </w:style>
  <w:style w:type="paragraph" w:styleId="Footer">
    <w:name w:val="footer"/>
    <w:basedOn w:val="Normal"/>
    <w:link w:val="FooterChar"/>
    <w:uiPriority w:val="99"/>
    <w:unhideWhenUsed/>
    <w:rsid w:val="00617D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D6C"/>
  </w:style>
  <w:style w:type="paragraph" w:styleId="BalloonText">
    <w:name w:val="Balloon Text"/>
    <w:basedOn w:val="Normal"/>
    <w:link w:val="BalloonTextChar"/>
    <w:uiPriority w:val="99"/>
    <w:semiHidden/>
    <w:unhideWhenUsed/>
    <w:rsid w:val="00A93E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E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7A88C67A7E5A4B8F530929D15B9199" ma:contentTypeVersion="13" ma:contentTypeDescription="Create a new document." ma:contentTypeScope="" ma:versionID="8e79372e3b80aa21b0c01f2d07bb934c">
  <xsd:schema xmlns:xsd="http://www.w3.org/2001/XMLSchema" xmlns:xs="http://www.w3.org/2001/XMLSchema" xmlns:p="http://schemas.microsoft.com/office/2006/metadata/properties" xmlns:ns3="c693e949-0257-406d-82c9-5c48b73d2cb8" xmlns:ns4="d26c1024-5c16-4aaa-9b7b-3b406e2893f0" targetNamespace="http://schemas.microsoft.com/office/2006/metadata/properties" ma:root="true" ma:fieldsID="8f83b7873dc0ad287deef5153ada3c67" ns3:_="" ns4:_="">
    <xsd:import namespace="c693e949-0257-406d-82c9-5c48b73d2cb8"/>
    <xsd:import namespace="d26c1024-5c16-4aaa-9b7b-3b406e2893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3e949-0257-406d-82c9-5c48b73d2cb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6c1024-5c16-4aaa-9b7b-3b406e2893f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8A3E2E-6E36-4E6C-8F17-E3838108E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3e949-0257-406d-82c9-5c48b73d2cb8"/>
    <ds:schemaRef ds:uri="d26c1024-5c16-4aaa-9b7b-3b406e289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9F4906-DC34-45D5-962D-F47F91F3FBC0}">
  <ds:schemaRefs>
    <ds:schemaRef ds:uri="http://schemas.microsoft.com/sharepoint/v3/contenttype/forms"/>
  </ds:schemaRefs>
</ds:datastoreItem>
</file>

<file path=customXml/itemProps3.xml><?xml version="1.0" encoding="utf-8"?>
<ds:datastoreItem xmlns:ds="http://schemas.openxmlformats.org/officeDocument/2006/customXml" ds:itemID="{AEE125EC-0BF0-4F2A-ABC4-EBAAE12C7098}">
  <ds:schemaRefs>
    <ds:schemaRef ds:uri="http://schemas.microsoft.com/office/2006/documentManagement/types"/>
    <ds:schemaRef ds:uri="c693e949-0257-406d-82c9-5c48b73d2cb8"/>
    <ds:schemaRef ds:uri="http://purl.org/dc/elements/1.1/"/>
    <ds:schemaRef ds:uri="http://schemas.microsoft.com/office/2006/metadata/properties"/>
    <ds:schemaRef ds:uri="http://www.w3.org/XML/1998/namespace"/>
    <ds:schemaRef ds:uri="http://schemas.openxmlformats.org/package/2006/metadata/core-properties"/>
    <ds:schemaRef ds:uri="http://purl.org/dc/dcmitype/"/>
    <ds:schemaRef ds:uri="http://schemas.microsoft.com/office/infopath/2007/PartnerControls"/>
    <ds:schemaRef ds:uri="d26c1024-5c16-4aaa-9b7b-3b406e2893f0"/>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Treasury Wine Estates</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Fleming, Andrew</dc:creator>
  <cp:keywords/>
  <dc:description/>
  <cp:lastModifiedBy>Fleming, Andrew</cp:lastModifiedBy>
  <cp:revision>7</cp:revision>
  <cp:lastPrinted>2016-09-19T02:13:00Z</cp:lastPrinted>
  <dcterms:created xsi:type="dcterms:W3CDTF">2020-07-08T03:06:00Z</dcterms:created>
  <dcterms:modified xsi:type="dcterms:W3CDTF">2020-07-16T02:25:00Z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0x010100EB7A88C67A7E5A4B8F530929D15B9199</vt:lpwstr>
  </property>
</Properties>
</file>